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A6" w:rsidRDefault="00CB44A6">
      <w:pPr>
        <w:spacing w:after="0"/>
        <w:rPr>
          <w:rFonts w:ascii="Arial" w:eastAsia="Arial" w:hAnsi="Arial" w:cs="Arial"/>
          <w:sz w:val="24"/>
          <w:szCs w:val="24"/>
        </w:rPr>
      </w:pPr>
      <w:bookmarkStart w:id="0" w:name="_GoBack"/>
      <w:bookmarkEnd w:id="0"/>
    </w:p>
    <w:p w:rsidR="00CB44A6" w:rsidRDefault="00CB44A6">
      <w:pPr>
        <w:spacing w:after="0"/>
        <w:rPr>
          <w:rFonts w:ascii="Arial" w:eastAsia="Arial" w:hAnsi="Arial" w:cs="Arial"/>
          <w:sz w:val="24"/>
          <w:szCs w:val="24"/>
        </w:rPr>
      </w:pPr>
    </w:p>
    <w:p w:rsidR="00CB44A6" w:rsidRDefault="00CB44A6">
      <w:pPr>
        <w:spacing w:after="0"/>
        <w:rPr>
          <w:rFonts w:ascii="Arial" w:eastAsia="Arial" w:hAnsi="Arial" w:cs="Arial"/>
          <w:sz w:val="24"/>
          <w:szCs w:val="24"/>
        </w:rPr>
      </w:pPr>
    </w:p>
    <w:p w:rsidR="00CB44A6" w:rsidRDefault="00CB44A6">
      <w:pPr>
        <w:spacing w:after="0"/>
        <w:rPr>
          <w:rFonts w:ascii="Arial" w:eastAsia="Arial" w:hAnsi="Arial" w:cs="Arial"/>
          <w:sz w:val="24"/>
          <w:szCs w:val="24"/>
        </w:rPr>
      </w:pPr>
    </w:p>
    <w:p w:rsidR="00CB44A6" w:rsidRDefault="00FC47B5">
      <w:pPr>
        <w:spacing w:after="0" w:line="310" w:lineRule="auto"/>
        <w:rPr>
          <w:rFonts w:ascii="Arial" w:eastAsia="Arial" w:hAnsi="Arial" w:cs="Arial"/>
          <w:sz w:val="24"/>
          <w:szCs w:val="24"/>
        </w:rPr>
      </w:pPr>
      <w:r>
        <w:rPr>
          <w:rFonts w:ascii="Arial" w:eastAsia="Arial" w:hAnsi="Arial" w:cs="Arial"/>
          <w:sz w:val="24"/>
          <w:szCs w:val="24"/>
        </w:rPr>
        <w:t>Footnotes – Third Quarter FY21</w:t>
      </w:r>
    </w:p>
    <w:p w:rsidR="00CB44A6" w:rsidRDefault="00CB44A6">
      <w:pPr>
        <w:spacing w:after="0"/>
        <w:ind w:left="720" w:hanging="360"/>
        <w:rPr>
          <w:rFonts w:ascii="Arial" w:eastAsia="Arial" w:hAnsi="Arial" w:cs="Arial"/>
          <w:sz w:val="24"/>
          <w:szCs w:val="24"/>
        </w:rPr>
      </w:pPr>
    </w:p>
    <w:p w:rsidR="00CB44A6" w:rsidRDefault="00FC47B5">
      <w:pPr>
        <w:spacing w:after="0" w:line="310" w:lineRule="auto"/>
        <w:rPr>
          <w:rFonts w:ascii="Arial" w:eastAsia="Arial" w:hAnsi="Arial" w:cs="Arial"/>
          <w:sz w:val="24"/>
          <w:szCs w:val="24"/>
        </w:rPr>
      </w:pPr>
      <w:r>
        <w:rPr>
          <w:rFonts w:ascii="Arial" w:eastAsia="Arial" w:hAnsi="Arial" w:cs="Arial"/>
          <w:sz w:val="24"/>
          <w:szCs w:val="24"/>
        </w:rPr>
        <w:t>Budget Summary:</w:t>
      </w:r>
    </w:p>
    <w:p w:rsidR="00CB44A6" w:rsidRDefault="00CB44A6">
      <w:pPr>
        <w:spacing w:after="0"/>
        <w:ind w:left="720" w:hanging="360"/>
        <w:rPr>
          <w:rFonts w:ascii="Arial" w:eastAsia="Arial" w:hAnsi="Arial" w:cs="Arial"/>
          <w:sz w:val="24"/>
          <w:szCs w:val="24"/>
        </w:rPr>
      </w:pPr>
    </w:p>
    <w:p w:rsidR="00CB44A6" w:rsidRDefault="00FC47B5">
      <w:pPr>
        <w:spacing w:after="0" w:line="310" w:lineRule="auto"/>
        <w:rPr>
          <w:rFonts w:ascii="Arial" w:eastAsia="Arial" w:hAnsi="Arial" w:cs="Arial"/>
          <w:sz w:val="24"/>
          <w:szCs w:val="24"/>
        </w:rPr>
      </w:pPr>
      <w:r>
        <w:rPr>
          <w:rFonts w:ascii="Arial" w:eastAsia="Arial" w:hAnsi="Arial" w:cs="Arial"/>
          <w:sz w:val="24"/>
          <w:szCs w:val="24"/>
        </w:rPr>
        <w:t xml:space="preserve">The legislature has seen it fit to approve the FY22 budget. The Virginia Museum of Natural History's new budget is in large part identical to FY21. All staffing positions have been fully funded. In addition, our operations and maintenance funding was restored, which will match FY21.  Moving forward into FY22, we will see marginal increases in wages and some potential new hires in the museum's store, administration, </w:t>
      </w:r>
      <w:r w:rsidR="003E26CE">
        <w:rPr>
          <w:rFonts w:ascii="Arial" w:eastAsia="Arial" w:hAnsi="Arial" w:cs="Arial"/>
          <w:sz w:val="24"/>
          <w:szCs w:val="24"/>
        </w:rPr>
        <w:t>and education</w:t>
      </w:r>
      <w:r>
        <w:rPr>
          <w:rFonts w:ascii="Arial" w:eastAsia="Arial" w:hAnsi="Arial" w:cs="Arial"/>
          <w:sz w:val="24"/>
          <w:szCs w:val="24"/>
        </w:rPr>
        <w:t xml:space="preserve">.  </w:t>
      </w:r>
    </w:p>
    <w:p w:rsidR="00CB44A6" w:rsidRDefault="00CB44A6">
      <w:pPr>
        <w:spacing w:after="0"/>
        <w:ind w:left="720" w:hanging="360"/>
        <w:rPr>
          <w:rFonts w:ascii="Arial" w:eastAsia="Arial" w:hAnsi="Arial" w:cs="Arial"/>
          <w:sz w:val="24"/>
          <w:szCs w:val="24"/>
        </w:rPr>
      </w:pPr>
    </w:p>
    <w:p w:rsidR="00CB44A6" w:rsidRDefault="00FC47B5">
      <w:pPr>
        <w:spacing w:after="0" w:line="310" w:lineRule="auto"/>
        <w:rPr>
          <w:rFonts w:ascii="Arial" w:eastAsia="Arial" w:hAnsi="Arial" w:cs="Arial"/>
          <w:sz w:val="24"/>
          <w:szCs w:val="24"/>
        </w:rPr>
      </w:pPr>
      <w:r>
        <w:rPr>
          <w:rFonts w:ascii="Arial" w:eastAsia="Arial" w:hAnsi="Arial" w:cs="Arial"/>
          <w:sz w:val="24"/>
          <w:szCs w:val="24"/>
        </w:rPr>
        <w:t>Revenues:</w:t>
      </w:r>
    </w:p>
    <w:p w:rsidR="00CB44A6" w:rsidRDefault="00FC47B5">
      <w:pPr>
        <w:numPr>
          <w:ilvl w:val="0"/>
          <w:numId w:val="1"/>
        </w:numPr>
        <w:spacing w:after="0"/>
        <w:rPr>
          <w:rFonts w:ascii="Arial" w:eastAsia="Arial" w:hAnsi="Arial" w:cs="Arial"/>
          <w:sz w:val="24"/>
          <w:szCs w:val="24"/>
        </w:rPr>
      </w:pPr>
      <w:r>
        <w:rPr>
          <w:rFonts w:ascii="Arial" w:eastAsia="Arial" w:hAnsi="Arial" w:cs="Arial"/>
          <w:sz w:val="24"/>
          <w:szCs w:val="24"/>
        </w:rPr>
        <w:t>The Virginia Museum of Natural History admissions has picked up over the last two months. The numbers from the third quarter of FY21 do not reflect the recent uptick in attendance. We hope to double our admissions by the end of FY21.</w:t>
      </w:r>
    </w:p>
    <w:p w:rsidR="00CB44A6" w:rsidRDefault="00FC47B5">
      <w:pPr>
        <w:numPr>
          <w:ilvl w:val="0"/>
          <w:numId w:val="1"/>
        </w:numPr>
        <w:spacing w:after="0"/>
        <w:rPr>
          <w:rFonts w:ascii="Arial" w:eastAsia="Arial" w:hAnsi="Arial" w:cs="Arial"/>
          <w:sz w:val="24"/>
          <w:szCs w:val="24"/>
        </w:rPr>
      </w:pPr>
      <w:r>
        <w:rPr>
          <w:rFonts w:ascii="Arial" w:eastAsia="Arial" w:hAnsi="Arial" w:cs="Arial"/>
          <w:sz w:val="24"/>
          <w:szCs w:val="24"/>
        </w:rPr>
        <w:t xml:space="preserve">Total revenues have far exceeded the original pandemic estimates at the beginning of FY21. Moving through COVID, staff, and others have been able to adjust to a constantly changing environment. All estimates point to finishing out FY21 at nearly 70% of total revenues. </w:t>
      </w:r>
    </w:p>
    <w:p w:rsidR="00CB44A6" w:rsidRDefault="00CB44A6">
      <w:pPr>
        <w:spacing w:after="0"/>
        <w:ind w:left="720" w:hanging="360"/>
        <w:rPr>
          <w:rFonts w:ascii="Arial" w:eastAsia="Arial" w:hAnsi="Arial" w:cs="Arial"/>
          <w:sz w:val="24"/>
          <w:szCs w:val="24"/>
        </w:rPr>
      </w:pPr>
    </w:p>
    <w:p w:rsidR="00CB44A6" w:rsidRDefault="00FC47B5">
      <w:pPr>
        <w:spacing w:after="0" w:line="310" w:lineRule="auto"/>
        <w:rPr>
          <w:rFonts w:ascii="Arial" w:eastAsia="Arial" w:hAnsi="Arial" w:cs="Arial"/>
          <w:sz w:val="24"/>
          <w:szCs w:val="24"/>
        </w:rPr>
      </w:pPr>
      <w:r>
        <w:rPr>
          <w:rFonts w:ascii="Arial" w:eastAsia="Arial" w:hAnsi="Arial" w:cs="Arial"/>
          <w:sz w:val="24"/>
          <w:szCs w:val="24"/>
        </w:rPr>
        <w:t>Total Operating Expenses:</w:t>
      </w:r>
    </w:p>
    <w:p w:rsidR="00CB44A6" w:rsidRDefault="00CB44A6">
      <w:pPr>
        <w:spacing w:after="0"/>
        <w:ind w:left="720" w:hanging="360"/>
        <w:rPr>
          <w:rFonts w:ascii="Arial" w:eastAsia="Arial" w:hAnsi="Arial" w:cs="Arial"/>
          <w:sz w:val="24"/>
          <w:szCs w:val="24"/>
        </w:rPr>
      </w:pPr>
    </w:p>
    <w:p w:rsidR="00CB44A6" w:rsidRDefault="00FC47B5">
      <w:pPr>
        <w:numPr>
          <w:ilvl w:val="0"/>
          <w:numId w:val="2"/>
        </w:numPr>
        <w:spacing w:after="0"/>
        <w:rPr>
          <w:rFonts w:ascii="Arial" w:eastAsia="Arial" w:hAnsi="Arial" w:cs="Arial"/>
          <w:sz w:val="24"/>
          <w:szCs w:val="24"/>
        </w:rPr>
      </w:pPr>
      <w:r>
        <w:rPr>
          <w:rFonts w:ascii="Arial" w:eastAsia="Arial" w:hAnsi="Arial" w:cs="Arial"/>
          <w:sz w:val="24"/>
          <w:szCs w:val="24"/>
        </w:rPr>
        <w:t>Subscriptions are up for the year due to the new necessity of telecommuting and conferences conducted via zoom. These subscriptions will remain active until a better, less expensive option becomes available or the need to telecommute ends.</w:t>
      </w:r>
    </w:p>
    <w:p w:rsidR="00CB44A6" w:rsidRDefault="00FC47B5">
      <w:pPr>
        <w:numPr>
          <w:ilvl w:val="0"/>
          <w:numId w:val="2"/>
        </w:numPr>
        <w:spacing w:after="0"/>
        <w:rPr>
          <w:rFonts w:ascii="Arial" w:eastAsia="Arial" w:hAnsi="Arial" w:cs="Arial"/>
          <w:sz w:val="24"/>
          <w:szCs w:val="24"/>
        </w:rPr>
      </w:pPr>
      <w:r>
        <w:rPr>
          <w:rFonts w:ascii="Arial" w:eastAsia="Arial" w:hAnsi="Arial" w:cs="Arial"/>
          <w:sz w:val="24"/>
          <w:szCs w:val="24"/>
        </w:rPr>
        <w:t>This is the time of year when we will decide to prepay our insurance or allow those charges to roll over into the next fiscal year. If these balances continue to look stable and there are no surprises, insurance premiums will fall into this fiscal year and appear on the fourth-quarter balance sheet.</w:t>
      </w:r>
    </w:p>
    <w:p w:rsidR="00CB44A6" w:rsidRDefault="00FC47B5">
      <w:pPr>
        <w:numPr>
          <w:ilvl w:val="0"/>
          <w:numId w:val="2"/>
        </w:numPr>
        <w:spacing w:after="0"/>
        <w:rPr>
          <w:rFonts w:ascii="Arial" w:eastAsia="Arial" w:hAnsi="Arial" w:cs="Arial"/>
          <w:sz w:val="24"/>
          <w:szCs w:val="24"/>
        </w:rPr>
      </w:pPr>
      <w:r>
        <w:rPr>
          <w:rFonts w:ascii="Arial" w:eastAsia="Arial" w:hAnsi="Arial" w:cs="Arial"/>
          <w:sz w:val="24"/>
          <w:szCs w:val="24"/>
        </w:rPr>
        <w:t xml:space="preserve">Agency Service Charges will continue to increase due to recent work on Capital Projects. </w:t>
      </w:r>
    </w:p>
    <w:p w:rsidR="00CB44A6" w:rsidRDefault="00CB44A6">
      <w:pPr>
        <w:pBdr>
          <w:top w:val="nil"/>
          <w:left w:val="nil"/>
          <w:bottom w:val="nil"/>
          <w:right w:val="nil"/>
          <w:between w:val="nil"/>
        </w:pBdr>
        <w:spacing w:after="0"/>
        <w:rPr>
          <w:rFonts w:ascii="Arial" w:eastAsia="Arial" w:hAnsi="Arial" w:cs="Arial"/>
          <w:sz w:val="24"/>
          <w:szCs w:val="24"/>
        </w:rPr>
      </w:pPr>
    </w:p>
    <w:p w:rsidR="00CB44A6" w:rsidRDefault="00CB44A6">
      <w:pPr>
        <w:spacing w:after="0"/>
        <w:ind w:left="180"/>
        <w:rPr>
          <w:rFonts w:ascii="Arial" w:eastAsia="Arial" w:hAnsi="Arial" w:cs="Arial"/>
          <w:sz w:val="24"/>
          <w:szCs w:val="24"/>
        </w:rPr>
      </w:pPr>
    </w:p>
    <w:p w:rsidR="00CB44A6" w:rsidRDefault="00CB44A6">
      <w:pPr>
        <w:spacing w:after="0"/>
        <w:ind w:left="180"/>
        <w:rPr>
          <w:rFonts w:ascii="Arial" w:eastAsia="Arial" w:hAnsi="Arial" w:cs="Arial"/>
          <w:sz w:val="24"/>
          <w:szCs w:val="24"/>
        </w:rPr>
      </w:pPr>
    </w:p>
    <w:p w:rsidR="00CB44A6" w:rsidRDefault="00CB44A6">
      <w:pPr>
        <w:spacing w:after="0"/>
        <w:ind w:left="180"/>
        <w:rPr>
          <w:rFonts w:ascii="Arial" w:eastAsia="Arial" w:hAnsi="Arial" w:cs="Arial"/>
          <w:sz w:val="24"/>
          <w:szCs w:val="24"/>
        </w:rPr>
      </w:pPr>
    </w:p>
    <w:p w:rsidR="00CB44A6" w:rsidRDefault="00CB44A6">
      <w:pPr>
        <w:spacing w:after="0"/>
        <w:rPr>
          <w:rFonts w:ascii="Arial" w:eastAsia="Arial" w:hAnsi="Arial" w:cs="Arial"/>
          <w:b/>
          <w:sz w:val="24"/>
          <w:szCs w:val="24"/>
        </w:rPr>
      </w:pPr>
    </w:p>
    <w:p w:rsidR="00CB44A6" w:rsidRDefault="00CB44A6">
      <w:pPr>
        <w:spacing w:after="0"/>
        <w:rPr>
          <w:rFonts w:ascii="Arial" w:eastAsia="Arial" w:hAnsi="Arial" w:cs="Arial"/>
          <w:b/>
          <w:sz w:val="24"/>
          <w:szCs w:val="24"/>
        </w:rPr>
      </w:pPr>
    </w:p>
    <w:p w:rsidR="00CB44A6" w:rsidRDefault="00CB44A6">
      <w:pPr>
        <w:spacing w:after="0"/>
        <w:rPr>
          <w:rFonts w:ascii="Arial" w:eastAsia="Arial" w:hAnsi="Arial" w:cs="Arial"/>
          <w:sz w:val="24"/>
          <w:szCs w:val="24"/>
        </w:rPr>
      </w:pPr>
    </w:p>
    <w:sectPr w:rsidR="00CB44A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42" w:rsidRDefault="00B43A42">
      <w:pPr>
        <w:spacing w:after="0" w:line="240" w:lineRule="auto"/>
      </w:pPr>
      <w:r>
        <w:separator/>
      </w:r>
    </w:p>
  </w:endnote>
  <w:endnote w:type="continuationSeparator" w:id="0">
    <w:p w:rsidR="00B43A42" w:rsidRDefault="00B4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42" w:rsidRDefault="00B43A42">
      <w:pPr>
        <w:spacing w:after="0" w:line="240" w:lineRule="auto"/>
      </w:pPr>
      <w:r>
        <w:separator/>
      </w:r>
    </w:p>
  </w:footnote>
  <w:footnote w:type="continuationSeparator" w:id="0">
    <w:p w:rsidR="00B43A42" w:rsidRDefault="00B4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A6" w:rsidRDefault="00FC47B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4162425</wp:posOffset>
          </wp:positionH>
          <wp:positionV relativeFrom="paragraph">
            <wp:posOffset>-28574</wp:posOffset>
          </wp:positionV>
          <wp:extent cx="1781175" cy="809625"/>
          <wp:effectExtent l="0" t="0" r="0" b="0"/>
          <wp:wrapNone/>
          <wp:docPr id="3" name="image1.png" descr="https://lh6.googleusercontent.com/cc6sTAmPtp4FbNwAs0vZ6eN7EvUCq3fiJEa458Wyo93oVj6k7wsMCuvq33R2ugIDHbSljj9ClFo94k361ps0OhSpmiTQDsa16IF9XKk_8ygTcKDQeI3-fABWJcVemn7V9op9J3QLD0zPDCA94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cc6sTAmPtp4FbNwAs0vZ6eN7EvUCq3fiJEa458Wyo93oVj6k7wsMCuvq33R2ugIDHbSljj9ClFo94k361ps0OhSpmiTQDsa16IF9XKk_8ygTcKDQeI3-fABWJcVemn7V9op9J3QLD0zPDCA94w"/>
                  <pic:cNvPicPr preferRelativeResize="0"/>
                </pic:nvPicPr>
                <pic:blipFill>
                  <a:blip r:embed="rId1"/>
                  <a:srcRect/>
                  <a:stretch>
                    <a:fillRect/>
                  </a:stretch>
                </pic:blipFill>
                <pic:spPr>
                  <a:xfrm>
                    <a:off x="0" y="0"/>
                    <a:ext cx="1781175" cy="809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D1A"/>
    <w:multiLevelType w:val="multilevel"/>
    <w:tmpl w:val="EF925A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C26345E"/>
    <w:multiLevelType w:val="multilevel"/>
    <w:tmpl w:val="790C2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A6"/>
    <w:rsid w:val="001B391C"/>
    <w:rsid w:val="003E26CE"/>
    <w:rsid w:val="00807E69"/>
    <w:rsid w:val="00B43A42"/>
    <w:rsid w:val="00CB44A6"/>
    <w:rsid w:val="00D9247B"/>
    <w:rsid w:val="00FC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926E5-EC05-4614-A8C0-10D0A346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67E7E"/>
    <w:pPr>
      <w:ind w:left="720"/>
      <w:contextualSpacing/>
    </w:pPr>
  </w:style>
  <w:style w:type="paragraph" w:styleId="BalloonText">
    <w:name w:val="Balloon Text"/>
    <w:basedOn w:val="Normal"/>
    <w:link w:val="BalloonTextChar"/>
    <w:uiPriority w:val="99"/>
    <w:semiHidden/>
    <w:unhideWhenUsed/>
    <w:rsid w:val="00906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3A"/>
    <w:rPr>
      <w:rFonts w:ascii="Segoe UI" w:hAnsi="Segoe UI" w:cs="Segoe UI"/>
      <w:sz w:val="18"/>
      <w:szCs w:val="18"/>
    </w:rPr>
  </w:style>
  <w:style w:type="paragraph" w:styleId="Header">
    <w:name w:val="header"/>
    <w:basedOn w:val="Normal"/>
    <w:link w:val="HeaderChar"/>
    <w:uiPriority w:val="99"/>
    <w:unhideWhenUsed/>
    <w:rsid w:val="00CE2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C"/>
  </w:style>
  <w:style w:type="paragraph" w:styleId="Footer">
    <w:name w:val="footer"/>
    <w:basedOn w:val="Normal"/>
    <w:link w:val="FooterChar"/>
    <w:uiPriority w:val="99"/>
    <w:unhideWhenUsed/>
    <w:rsid w:val="00CE2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19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J85Bv31cF/b+aJ/5cBeFQXBrYw==">AMUW2mUuEQKWhU8atgKHUchZEjgr/eL0NPBHt1StD7uh983zzR2EZUELnPTEeEFzViO/ZrRhrHJEOwo1VxGCYa1/4OvjIf9EQ7Pzs3F0KAR2x/oG4OB41Wo=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VITA Program</cp:lastModifiedBy>
  <cp:revision>2</cp:revision>
  <dcterms:created xsi:type="dcterms:W3CDTF">2021-05-07T16:51:00Z</dcterms:created>
  <dcterms:modified xsi:type="dcterms:W3CDTF">2021-05-07T16:51:00Z</dcterms:modified>
</cp:coreProperties>
</file>