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</w:p>
    <w:p w:rsidR="00F01DC2" w:rsidRDefault="00F50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13</w:t>
      </w:r>
      <w:r w:rsidR="00F01DC2" w:rsidRPr="00CD38B5">
        <w:rPr>
          <w:rFonts w:ascii="Arial" w:hAnsi="Arial" w:cs="Arial"/>
          <w:sz w:val="24"/>
          <w:szCs w:val="24"/>
        </w:rPr>
        <w:t>, 20</w:t>
      </w:r>
      <w:r w:rsidR="0019218C" w:rsidRPr="00CD38B5">
        <w:rPr>
          <w:rFonts w:ascii="Arial" w:hAnsi="Arial" w:cs="Arial"/>
          <w:sz w:val="24"/>
          <w:szCs w:val="24"/>
        </w:rPr>
        <w:t>2</w:t>
      </w:r>
      <w:r w:rsidR="00F45199">
        <w:rPr>
          <w:rFonts w:ascii="Arial" w:hAnsi="Arial" w:cs="Arial"/>
          <w:sz w:val="24"/>
          <w:szCs w:val="24"/>
        </w:rPr>
        <w:t>2</w:t>
      </w:r>
      <w:r w:rsidR="00F01DC2" w:rsidRPr="00CD38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</w:t>
      </w:r>
      <w:r w:rsidR="001A6861">
        <w:rPr>
          <w:rFonts w:ascii="Arial" w:hAnsi="Arial" w:cs="Arial"/>
          <w:sz w:val="24"/>
          <w:szCs w:val="24"/>
        </w:rPr>
        <w:t>:00</w:t>
      </w:r>
      <w:r w:rsidR="00573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73CF4">
        <w:rPr>
          <w:rFonts w:ascii="Arial" w:hAnsi="Arial" w:cs="Arial"/>
          <w:sz w:val="24"/>
          <w:szCs w:val="24"/>
        </w:rPr>
        <w:t>.m.</w:t>
      </w:r>
      <w:r w:rsidR="00B166DC" w:rsidRPr="00CD38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VMNH</w:t>
      </w:r>
    </w:p>
    <w:p w:rsidR="00DE67AC" w:rsidRDefault="00DE67AC" w:rsidP="00DE67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present: </w:t>
      </w:r>
      <w:r w:rsidR="00703FA0"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Makunda</w:t>
      </w:r>
      <w:proofErr w:type="spellEnd"/>
      <w:r>
        <w:rPr>
          <w:rFonts w:ascii="Arial" w:hAnsi="Arial" w:cs="Arial"/>
          <w:sz w:val="24"/>
          <w:szCs w:val="24"/>
        </w:rPr>
        <w:t xml:space="preserve"> Abdul-</w:t>
      </w:r>
      <w:proofErr w:type="spellStart"/>
      <w:r>
        <w:rPr>
          <w:rFonts w:ascii="Arial" w:hAnsi="Arial" w:cs="Arial"/>
          <w:sz w:val="24"/>
          <w:szCs w:val="24"/>
        </w:rPr>
        <w:t>Mbacke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Emma Ito,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Joan Montgomery (VMNH-F) </w:t>
      </w:r>
    </w:p>
    <w:p w:rsidR="00DE67AC" w:rsidRDefault="00DE67AC" w:rsidP="00DE67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absent: Nathan Sanford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(chair)</w:t>
      </w:r>
    </w:p>
    <w:p w:rsidR="00DE67AC" w:rsidRDefault="00DE67AC" w:rsidP="00DE67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Present: Christy </w:t>
      </w:r>
      <w:proofErr w:type="spellStart"/>
      <w:r>
        <w:rPr>
          <w:rFonts w:ascii="Arial" w:hAnsi="Arial" w:cs="Arial"/>
          <w:sz w:val="24"/>
          <w:szCs w:val="24"/>
        </w:rPr>
        <w:t>Deatherage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E67AC" w:rsidRPr="00CD38B5" w:rsidRDefault="00DE67AC" w:rsidP="00DE67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Guests: Students from Tunstall High School AP Government Class</w:t>
      </w:r>
    </w:p>
    <w:p w:rsidR="00DE67AC" w:rsidRPr="00CD38B5" w:rsidRDefault="00DE67AC">
      <w:pPr>
        <w:rPr>
          <w:rFonts w:ascii="Arial" w:hAnsi="Arial" w:cs="Arial"/>
          <w:sz w:val="24"/>
          <w:szCs w:val="24"/>
        </w:rPr>
      </w:pPr>
    </w:p>
    <w:p w:rsidR="002300B2" w:rsidRPr="00CD38B5" w:rsidRDefault="00685778" w:rsidP="00685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:rsidR="002300B2" w:rsidRPr="00CD38B5" w:rsidRDefault="00117203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was briefed on </w:t>
      </w:r>
      <w:r w:rsidR="002300B2" w:rsidRPr="00CD38B5">
        <w:rPr>
          <w:rFonts w:ascii="Arial" w:hAnsi="Arial" w:cs="Arial"/>
          <w:sz w:val="24"/>
          <w:szCs w:val="24"/>
        </w:rPr>
        <w:t>Education Updates-</w:t>
      </w:r>
    </w:p>
    <w:p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  <w:r w:rsidR="0036269C">
        <w:rPr>
          <w:rFonts w:ascii="Arial" w:hAnsi="Arial" w:cs="Arial"/>
          <w:sz w:val="24"/>
          <w:szCs w:val="24"/>
        </w:rPr>
        <w:t xml:space="preserve"> </w:t>
      </w:r>
      <w:r w:rsidR="0036269C">
        <w:rPr>
          <w:rFonts w:ascii="Arial" w:hAnsi="Arial" w:cs="Arial"/>
          <w:sz w:val="24"/>
          <w:szCs w:val="24"/>
        </w:rPr>
        <w:t>Program numbers and numbers served were discussed for January – March 2022.</w:t>
      </w:r>
      <w:r w:rsidR="0036269C">
        <w:rPr>
          <w:rFonts w:ascii="Arial" w:hAnsi="Arial" w:cs="Arial"/>
          <w:sz w:val="24"/>
          <w:szCs w:val="24"/>
        </w:rPr>
        <w:t xml:space="preserve"> As well as a visual presentation of fiscal year numbers.</w:t>
      </w:r>
      <w:r w:rsidR="00A00186">
        <w:rPr>
          <w:rFonts w:ascii="Arial" w:hAnsi="Arial" w:cs="Arial"/>
          <w:sz w:val="24"/>
          <w:szCs w:val="24"/>
        </w:rPr>
        <w:t xml:space="preserve"> The committee discussed seeing an increase in numbers but are still not at pre-pandemic numbers yet.</w:t>
      </w:r>
    </w:p>
    <w:p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5F5A16">
        <w:rPr>
          <w:rFonts w:ascii="Arial" w:hAnsi="Arial" w:cs="Arial"/>
          <w:sz w:val="24"/>
          <w:szCs w:val="24"/>
        </w:rPr>
        <w:t xml:space="preserve">Educational activities </w:t>
      </w:r>
      <w:r w:rsidR="00946A37">
        <w:rPr>
          <w:rFonts w:ascii="Arial" w:hAnsi="Arial" w:cs="Arial"/>
          <w:sz w:val="24"/>
          <w:szCs w:val="24"/>
        </w:rPr>
        <w:t>were popular at the first-time</w:t>
      </w:r>
      <w:r w:rsidR="005F5A16">
        <w:rPr>
          <w:rFonts w:ascii="Arial" w:hAnsi="Arial" w:cs="Arial"/>
          <w:sz w:val="24"/>
          <w:szCs w:val="24"/>
        </w:rPr>
        <w:t xml:space="preserve"> Wildlife Festival (June)</w:t>
      </w:r>
      <w:r w:rsidR="00946A37">
        <w:rPr>
          <w:rFonts w:ascii="Arial" w:hAnsi="Arial" w:cs="Arial"/>
          <w:sz w:val="24"/>
          <w:szCs w:val="24"/>
        </w:rPr>
        <w:t>.</w:t>
      </w:r>
      <w:r w:rsidR="000B51D9">
        <w:rPr>
          <w:rFonts w:ascii="Arial" w:hAnsi="Arial" w:cs="Arial"/>
          <w:sz w:val="24"/>
          <w:szCs w:val="24"/>
        </w:rPr>
        <w:t xml:space="preserve"> </w:t>
      </w:r>
      <w:r w:rsidR="00946A37">
        <w:rPr>
          <w:rFonts w:ascii="Arial" w:hAnsi="Arial" w:cs="Arial"/>
          <w:sz w:val="24"/>
          <w:szCs w:val="24"/>
        </w:rPr>
        <w:t xml:space="preserve">Quarterly numbers saw a </w:t>
      </w:r>
      <w:r w:rsidR="000B51D9">
        <w:rPr>
          <w:rFonts w:ascii="Arial" w:hAnsi="Arial" w:cs="Arial"/>
          <w:sz w:val="24"/>
          <w:szCs w:val="24"/>
        </w:rPr>
        <w:t>wrap up of school/public programs</w:t>
      </w:r>
      <w:r w:rsidR="00946A37">
        <w:rPr>
          <w:rFonts w:ascii="Arial" w:hAnsi="Arial" w:cs="Arial"/>
          <w:sz w:val="24"/>
          <w:szCs w:val="24"/>
        </w:rPr>
        <w:t xml:space="preserve"> and a switch to the</w:t>
      </w:r>
      <w:r w:rsidR="00F3333D">
        <w:rPr>
          <w:rFonts w:ascii="Arial" w:hAnsi="Arial" w:cs="Arial"/>
          <w:sz w:val="24"/>
          <w:szCs w:val="24"/>
        </w:rPr>
        <w:t xml:space="preserve"> start of Summer </w:t>
      </w:r>
      <w:r w:rsidR="00946A37">
        <w:rPr>
          <w:rFonts w:ascii="Arial" w:hAnsi="Arial" w:cs="Arial"/>
          <w:sz w:val="24"/>
          <w:szCs w:val="24"/>
        </w:rPr>
        <w:t xml:space="preserve">Adventure </w:t>
      </w:r>
      <w:r w:rsidR="00F3333D">
        <w:rPr>
          <w:rFonts w:ascii="Arial" w:hAnsi="Arial" w:cs="Arial"/>
          <w:sz w:val="24"/>
          <w:szCs w:val="24"/>
        </w:rPr>
        <w:t>Camps</w:t>
      </w:r>
      <w:r w:rsidR="00946A37">
        <w:rPr>
          <w:rFonts w:ascii="Arial" w:hAnsi="Arial" w:cs="Arial"/>
          <w:sz w:val="24"/>
          <w:szCs w:val="24"/>
        </w:rPr>
        <w:t>.</w:t>
      </w:r>
    </w:p>
    <w:p w:rsidR="00CF205E" w:rsidRPr="003A474F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9B0595">
        <w:rPr>
          <w:rFonts w:ascii="Arial" w:hAnsi="Arial" w:cs="Arial"/>
          <w:sz w:val="24"/>
          <w:szCs w:val="24"/>
        </w:rPr>
        <w:t xml:space="preserve">Partnered with Piedmont Arts Association for Earth Day </w:t>
      </w:r>
      <w:r w:rsidR="005F5A16">
        <w:rPr>
          <w:rFonts w:ascii="Arial" w:hAnsi="Arial" w:cs="Arial"/>
          <w:sz w:val="24"/>
          <w:szCs w:val="24"/>
        </w:rPr>
        <w:t xml:space="preserve">(April) </w:t>
      </w:r>
      <w:r w:rsidR="009B0595">
        <w:rPr>
          <w:rFonts w:ascii="Arial" w:hAnsi="Arial" w:cs="Arial"/>
          <w:sz w:val="24"/>
          <w:szCs w:val="24"/>
        </w:rPr>
        <w:t>public event</w:t>
      </w:r>
      <w:r w:rsidR="003361EF">
        <w:rPr>
          <w:rFonts w:ascii="Arial" w:hAnsi="Arial" w:cs="Arial"/>
          <w:sz w:val="24"/>
          <w:szCs w:val="24"/>
        </w:rPr>
        <w:t xml:space="preserve"> providing pollinator themed activities</w:t>
      </w:r>
      <w:r w:rsidR="00946A37">
        <w:rPr>
          <w:rFonts w:ascii="Arial" w:hAnsi="Arial" w:cs="Arial"/>
          <w:sz w:val="24"/>
          <w:szCs w:val="24"/>
        </w:rPr>
        <w:t xml:space="preserve">. We also presented at the </w:t>
      </w:r>
      <w:r w:rsidR="000B51D9">
        <w:rPr>
          <w:rFonts w:ascii="Arial" w:hAnsi="Arial" w:cs="Arial"/>
          <w:sz w:val="24"/>
          <w:szCs w:val="24"/>
        </w:rPr>
        <w:t>Danville City Schools STEAM event (May) providing fossil related activities</w:t>
      </w:r>
      <w:r w:rsidR="00946A37">
        <w:rPr>
          <w:rFonts w:ascii="Arial" w:hAnsi="Arial" w:cs="Arial"/>
          <w:sz w:val="24"/>
          <w:szCs w:val="24"/>
        </w:rPr>
        <w:t xml:space="preserve"> for families.</w:t>
      </w:r>
    </w:p>
    <w:p w:rsidR="00CC7E8C" w:rsidRPr="00E724C4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Distance Learning </w:t>
      </w:r>
      <w:r w:rsidR="00F608B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46A37">
        <w:rPr>
          <w:rFonts w:ascii="Arial" w:hAnsi="Arial" w:cs="Arial"/>
          <w:sz w:val="24"/>
          <w:szCs w:val="24"/>
        </w:rPr>
        <w:t xml:space="preserve">We presented </w:t>
      </w:r>
      <w:r w:rsidR="00E724C4">
        <w:rPr>
          <w:rFonts w:ascii="Arial" w:hAnsi="Arial" w:cs="Arial"/>
          <w:sz w:val="24"/>
          <w:szCs w:val="24"/>
        </w:rPr>
        <w:t xml:space="preserve">Virtual Programming with </w:t>
      </w:r>
      <w:r w:rsidR="004E621B">
        <w:rPr>
          <w:rFonts w:ascii="Arial" w:hAnsi="Arial" w:cs="Arial"/>
          <w:sz w:val="24"/>
          <w:szCs w:val="24"/>
        </w:rPr>
        <w:t>AARP (116 adults throughout U.S.)</w:t>
      </w:r>
      <w:r w:rsidR="00946A37">
        <w:rPr>
          <w:rFonts w:ascii="Arial" w:hAnsi="Arial" w:cs="Arial"/>
          <w:sz w:val="24"/>
          <w:szCs w:val="24"/>
        </w:rPr>
        <w:t xml:space="preserve"> that focused on the history of the museum as well as the fossils on display in the Hall of Ancient Life.</w:t>
      </w:r>
    </w:p>
    <w:p w:rsidR="002A1AB5" w:rsidRPr="002345EF" w:rsidRDefault="002A1AB5" w:rsidP="00DB78E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:rsidR="009D235D" w:rsidRDefault="009B42B3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c</w:t>
      </w:r>
      <w:r w:rsidR="009D235D">
        <w:rPr>
          <w:rFonts w:ascii="Arial" w:hAnsi="Arial" w:cs="Arial"/>
          <w:sz w:val="24"/>
          <w:szCs w:val="24"/>
        </w:rPr>
        <w:t xml:space="preserve">ontracts with Martinsville City </w:t>
      </w:r>
      <w:r>
        <w:rPr>
          <w:rFonts w:ascii="Arial" w:hAnsi="Arial" w:cs="Arial"/>
          <w:sz w:val="24"/>
          <w:szCs w:val="24"/>
        </w:rPr>
        <w:t xml:space="preserve">(4 programs per grade level) </w:t>
      </w:r>
      <w:r w:rsidR="009D235D">
        <w:rPr>
          <w:rFonts w:ascii="Arial" w:hAnsi="Arial" w:cs="Arial"/>
          <w:sz w:val="24"/>
          <w:szCs w:val="24"/>
        </w:rPr>
        <w:t>and Franklin County schools for 2022-2023 school year programs</w:t>
      </w:r>
      <w:r>
        <w:rPr>
          <w:rFonts w:ascii="Arial" w:hAnsi="Arial" w:cs="Arial"/>
          <w:sz w:val="24"/>
          <w:szCs w:val="24"/>
        </w:rPr>
        <w:t>.</w:t>
      </w:r>
    </w:p>
    <w:p w:rsidR="00D064F2" w:rsidRDefault="00823408" w:rsidP="008234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 are excited to partner with </w:t>
      </w:r>
      <w:r>
        <w:rPr>
          <w:rFonts w:ascii="Arial" w:hAnsi="Arial" w:cs="Arial"/>
          <w:sz w:val="24"/>
          <w:szCs w:val="24"/>
        </w:rPr>
        <w:t xml:space="preserve">JMU’s </w:t>
      </w:r>
      <w:r w:rsidRPr="00F37584">
        <w:rPr>
          <w:rFonts w:ascii="Arial" w:hAnsi="Arial" w:cs="Arial"/>
          <w:color w:val="222222"/>
          <w:sz w:val="24"/>
          <w:szCs w:val="24"/>
          <w:shd w:val="clear" w:color="auto" w:fill="FFFFFF"/>
        </w:rPr>
        <w:t>Center for the Advancement of Sustainable Energy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a host site. The museum will house a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KidWind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Wind Tunnel for loan or access to any school participating in the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KidWind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wind challenge (4</w:t>
      </w:r>
      <w:r w:rsidRPr="0088784D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-12</w:t>
      </w:r>
      <w:r w:rsidRPr="0088784D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grade students create wind turbines and test their energy output).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We are planning a</w:t>
      </w:r>
      <w:r w:rsidR="00D064F2">
        <w:rPr>
          <w:rFonts w:ascii="Arial" w:hAnsi="Arial" w:cs="Arial"/>
          <w:sz w:val="24"/>
          <w:szCs w:val="24"/>
        </w:rPr>
        <w:t xml:space="preserve"> Challenge</w:t>
      </w:r>
      <w:r>
        <w:rPr>
          <w:rFonts w:ascii="Arial" w:hAnsi="Arial" w:cs="Arial"/>
          <w:sz w:val="24"/>
          <w:szCs w:val="24"/>
        </w:rPr>
        <w:t xml:space="preserve"> </w:t>
      </w:r>
      <w:r w:rsidR="006B634B">
        <w:rPr>
          <w:rFonts w:ascii="Arial" w:hAnsi="Arial" w:cs="Arial"/>
          <w:sz w:val="24"/>
          <w:szCs w:val="24"/>
        </w:rPr>
        <w:t>for statewide participants</w:t>
      </w:r>
      <w:r w:rsidR="006B6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 held at VMNH in the </w:t>
      </w:r>
      <w:r w:rsidR="006B634B">
        <w:rPr>
          <w:rFonts w:ascii="Arial" w:hAnsi="Arial" w:cs="Arial"/>
          <w:sz w:val="24"/>
          <w:szCs w:val="24"/>
        </w:rPr>
        <w:t>spring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71C7" w:rsidRDefault="003D4ACF" w:rsidP="00167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Updates:</w:t>
      </w:r>
      <w:r w:rsidR="001671C7" w:rsidRPr="001671C7">
        <w:rPr>
          <w:rFonts w:ascii="Arial" w:hAnsi="Arial" w:cs="Arial"/>
          <w:sz w:val="24"/>
          <w:szCs w:val="24"/>
        </w:rPr>
        <w:t xml:space="preserve"> </w:t>
      </w:r>
      <w:r w:rsidR="001671C7">
        <w:rPr>
          <w:rFonts w:ascii="Arial" w:hAnsi="Arial" w:cs="Arial"/>
          <w:sz w:val="24"/>
          <w:szCs w:val="24"/>
        </w:rPr>
        <w:t xml:space="preserve">The Education Department will have scholarship options available for programming </w:t>
      </w:r>
      <w:r w:rsidR="001671C7">
        <w:rPr>
          <w:rFonts w:ascii="Arial" w:hAnsi="Arial" w:cs="Arial"/>
          <w:sz w:val="24"/>
          <w:szCs w:val="24"/>
        </w:rPr>
        <w:t>throu</w:t>
      </w:r>
      <w:r w:rsidR="001671C7">
        <w:rPr>
          <w:rFonts w:ascii="Arial" w:hAnsi="Arial" w:cs="Arial"/>
          <w:sz w:val="24"/>
          <w:szCs w:val="24"/>
        </w:rPr>
        <w:t xml:space="preserve">gh the 2022/2023 school year. Scholarships will cover outreach, at-the-museum or virtual program costs. </w:t>
      </w:r>
    </w:p>
    <w:p w:rsidR="00630AD5" w:rsidRDefault="00630AD5" w:rsidP="001671C7">
      <w:pPr>
        <w:pStyle w:val="ListParagraph"/>
        <w:rPr>
          <w:rFonts w:ascii="Arial" w:hAnsi="Arial" w:cs="Arial"/>
          <w:sz w:val="24"/>
          <w:szCs w:val="24"/>
        </w:rPr>
      </w:pPr>
    </w:p>
    <w:p w:rsidR="004B0510" w:rsidRDefault="00630AD5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Boxley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r w:rsidR="00A9604E">
        <w:rPr>
          <w:rFonts w:ascii="Arial" w:hAnsi="Arial" w:cs="Arial"/>
          <w:sz w:val="24"/>
          <w:szCs w:val="24"/>
        </w:rPr>
        <w:t xml:space="preserve">(Continuation of partnership) </w:t>
      </w:r>
      <w:r>
        <w:rPr>
          <w:rFonts w:ascii="Arial" w:hAnsi="Arial" w:cs="Arial"/>
          <w:sz w:val="24"/>
          <w:szCs w:val="24"/>
        </w:rPr>
        <w:t xml:space="preserve">for </w:t>
      </w:r>
      <w:r w:rsidR="00C51DB9">
        <w:rPr>
          <w:rFonts w:ascii="Arial" w:hAnsi="Arial" w:cs="Arial"/>
          <w:sz w:val="24"/>
          <w:szCs w:val="24"/>
        </w:rPr>
        <w:t xml:space="preserve">2022-2023 </w:t>
      </w:r>
      <w:r>
        <w:rPr>
          <w:rFonts w:ascii="Arial" w:hAnsi="Arial" w:cs="Arial"/>
          <w:sz w:val="24"/>
          <w:szCs w:val="24"/>
        </w:rPr>
        <w:t xml:space="preserve">Programming </w:t>
      </w:r>
      <w:r w:rsidR="00C51DB9">
        <w:rPr>
          <w:rFonts w:ascii="Arial" w:hAnsi="Arial" w:cs="Arial"/>
          <w:sz w:val="24"/>
          <w:szCs w:val="24"/>
        </w:rPr>
        <w:t>(all formats)</w:t>
      </w:r>
      <w:r w:rsidR="006919F7">
        <w:rPr>
          <w:rFonts w:ascii="Arial" w:hAnsi="Arial" w:cs="Arial"/>
          <w:sz w:val="24"/>
          <w:szCs w:val="24"/>
        </w:rPr>
        <w:t xml:space="preserve"> </w:t>
      </w:r>
      <w:r w:rsidR="00D47F78">
        <w:rPr>
          <w:rFonts w:ascii="Arial" w:hAnsi="Arial" w:cs="Arial"/>
          <w:sz w:val="24"/>
          <w:szCs w:val="24"/>
        </w:rPr>
        <w:t>($</w:t>
      </w:r>
      <w:r w:rsidR="00C51DB9">
        <w:rPr>
          <w:rFonts w:ascii="Arial" w:hAnsi="Arial" w:cs="Arial"/>
          <w:sz w:val="24"/>
          <w:szCs w:val="24"/>
        </w:rPr>
        <w:t>10</w:t>
      </w:r>
      <w:r w:rsidR="00D47F78">
        <w:rPr>
          <w:rFonts w:ascii="Arial" w:hAnsi="Arial" w:cs="Arial"/>
          <w:sz w:val="24"/>
          <w:szCs w:val="24"/>
        </w:rPr>
        <w:t xml:space="preserve">,000 </w:t>
      </w:r>
      <w:r w:rsidR="007F041E">
        <w:rPr>
          <w:rFonts w:ascii="Arial" w:hAnsi="Arial" w:cs="Arial"/>
          <w:sz w:val="24"/>
          <w:szCs w:val="24"/>
        </w:rPr>
        <w:t>total</w:t>
      </w:r>
      <w:r w:rsidR="003422C7">
        <w:rPr>
          <w:rFonts w:ascii="Arial" w:hAnsi="Arial" w:cs="Arial"/>
          <w:sz w:val="24"/>
          <w:szCs w:val="24"/>
        </w:rPr>
        <w:t xml:space="preserve"> </w:t>
      </w:r>
      <w:r w:rsidR="007F041E">
        <w:rPr>
          <w:rFonts w:ascii="Arial" w:hAnsi="Arial" w:cs="Arial"/>
          <w:sz w:val="24"/>
          <w:szCs w:val="24"/>
        </w:rPr>
        <w:t>- $</w:t>
      </w:r>
      <w:r w:rsidR="00C51DB9">
        <w:rPr>
          <w:rFonts w:ascii="Arial" w:hAnsi="Arial" w:cs="Arial"/>
          <w:sz w:val="24"/>
          <w:szCs w:val="24"/>
        </w:rPr>
        <w:t>7</w:t>
      </w:r>
      <w:r w:rsidR="007F041E">
        <w:rPr>
          <w:rFonts w:ascii="Arial" w:hAnsi="Arial" w:cs="Arial"/>
          <w:sz w:val="24"/>
          <w:szCs w:val="24"/>
        </w:rPr>
        <w:t xml:space="preserve">,000 </w:t>
      </w:r>
      <w:r w:rsidR="003422C7">
        <w:rPr>
          <w:rFonts w:ascii="Arial" w:hAnsi="Arial" w:cs="Arial"/>
          <w:sz w:val="24"/>
          <w:szCs w:val="24"/>
        </w:rPr>
        <w:t xml:space="preserve">towards </w:t>
      </w:r>
      <w:r w:rsidR="007F041E">
        <w:rPr>
          <w:rFonts w:ascii="Arial" w:hAnsi="Arial" w:cs="Arial"/>
          <w:sz w:val="24"/>
          <w:szCs w:val="24"/>
        </w:rPr>
        <w:t>scholarships</w:t>
      </w:r>
      <w:r w:rsidR="00D47F78">
        <w:rPr>
          <w:rFonts w:ascii="Arial" w:hAnsi="Arial" w:cs="Arial"/>
          <w:sz w:val="24"/>
          <w:szCs w:val="24"/>
        </w:rPr>
        <w:t>)</w:t>
      </w:r>
    </w:p>
    <w:p w:rsidR="004B0510" w:rsidRDefault="004B0510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Edgar Thurman Charitable Foundation grant for 2022-2023 programming (all formats)- $10,000 total - $8,500 towards scholarships)</w:t>
      </w:r>
    </w:p>
    <w:p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:rsidR="001A78A5" w:rsidRDefault="0012180F" w:rsidP="001A78A5">
      <w:pPr>
        <w:pStyle w:val="ListParagraph"/>
        <w:numPr>
          <w:ilvl w:val="1"/>
          <w:numId w:val="1"/>
        </w:numPr>
        <w:tabs>
          <w:tab w:val="left" w:pos="1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Davenport, Exhibit Manager, left the museum in July. The museum will advertise the </w:t>
      </w:r>
      <w:r w:rsidR="00D95E26" w:rsidRPr="0075316A">
        <w:rPr>
          <w:rFonts w:ascii="Arial" w:hAnsi="Arial" w:cs="Arial"/>
          <w:i/>
          <w:sz w:val="24"/>
          <w:szCs w:val="24"/>
        </w:rPr>
        <w:t>Museum Experience Manager</w:t>
      </w:r>
      <w:r w:rsidR="00D95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position in</w:t>
      </w:r>
    </w:p>
    <w:p w:rsidR="00993963" w:rsidRPr="001A78A5" w:rsidRDefault="0012180F" w:rsidP="001A78A5">
      <w:pPr>
        <w:tabs>
          <w:tab w:val="left" w:pos="1125"/>
        </w:tabs>
        <w:ind w:left="1080"/>
        <w:rPr>
          <w:rFonts w:ascii="Arial" w:hAnsi="Arial" w:cs="Arial"/>
          <w:sz w:val="24"/>
          <w:szCs w:val="24"/>
        </w:rPr>
      </w:pPr>
      <w:r w:rsidRPr="001A78A5">
        <w:rPr>
          <w:rFonts w:ascii="Arial" w:hAnsi="Arial" w:cs="Arial"/>
          <w:sz w:val="24"/>
          <w:szCs w:val="24"/>
        </w:rPr>
        <w:t>September for re-hire.</w:t>
      </w:r>
    </w:p>
    <w:p w:rsidR="00B91BCA" w:rsidRPr="00CD38B5" w:rsidRDefault="00B91BCA" w:rsidP="00B91B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Report/Recommendation to BOT: </w:t>
      </w: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Makunda</w:t>
      </w:r>
      <w:proofErr w:type="spellEnd"/>
      <w:r>
        <w:rPr>
          <w:rFonts w:ascii="Arial" w:hAnsi="Arial" w:cs="Arial"/>
          <w:sz w:val="24"/>
          <w:szCs w:val="24"/>
        </w:rPr>
        <w:t xml:space="preserve"> Abdul-</w:t>
      </w:r>
      <w:proofErr w:type="spellStart"/>
      <w:r>
        <w:rPr>
          <w:rFonts w:ascii="Arial" w:hAnsi="Arial" w:cs="Arial"/>
          <w:sz w:val="24"/>
          <w:szCs w:val="24"/>
        </w:rPr>
        <w:t>Mbacke</w:t>
      </w:r>
      <w:proofErr w:type="spellEnd"/>
      <w:r>
        <w:rPr>
          <w:rFonts w:ascii="Arial" w:hAnsi="Arial" w:cs="Arial"/>
          <w:sz w:val="24"/>
          <w:szCs w:val="24"/>
        </w:rPr>
        <w:t xml:space="preserve"> will provide the </w:t>
      </w:r>
      <w:r>
        <w:rPr>
          <w:rFonts w:ascii="Arial" w:hAnsi="Arial" w:cs="Arial"/>
          <w:sz w:val="24"/>
          <w:szCs w:val="24"/>
        </w:rPr>
        <w:t xml:space="preserve">Committee Chair </w:t>
      </w:r>
      <w:r>
        <w:rPr>
          <w:rFonts w:ascii="Arial" w:hAnsi="Arial" w:cs="Arial"/>
          <w:sz w:val="24"/>
          <w:szCs w:val="24"/>
        </w:rPr>
        <w:t xml:space="preserve">report in Nathan Sanford’s absence. Focus will include: </w:t>
      </w:r>
      <w:r>
        <w:rPr>
          <w:rFonts w:ascii="Arial" w:hAnsi="Arial" w:cs="Arial"/>
          <w:sz w:val="24"/>
          <w:szCs w:val="24"/>
        </w:rPr>
        <w:t>review of quarterly numbers served</w:t>
      </w:r>
      <w:r>
        <w:rPr>
          <w:rFonts w:ascii="Arial" w:hAnsi="Arial" w:cs="Arial"/>
          <w:sz w:val="24"/>
          <w:szCs w:val="24"/>
        </w:rPr>
        <w:t>, scholarship opportunities for teachers,</w:t>
      </w:r>
      <w:r>
        <w:rPr>
          <w:rFonts w:ascii="Arial" w:hAnsi="Arial" w:cs="Arial"/>
          <w:sz w:val="24"/>
          <w:szCs w:val="24"/>
        </w:rPr>
        <w:t xml:space="preserve"> and the </w:t>
      </w:r>
      <w:proofErr w:type="spellStart"/>
      <w:r>
        <w:rPr>
          <w:rFonts w:ascii="Arial" w:hAnsi="Arial" w:cs="Arial"/>
          <w:sz w:val="24"/>
          <w:szCs w:val="24"/>
        </w:rPr>
        <w:t>KidWind</w:t>
      </w:r>
      <w:proofErr w:type="spellEnd"/>
      <w:r>
        <w:rPr>
          <w:rFonts w:ascii="Arial" w:hAnsi="Arial" w:cs="Arial"/>
          <w:sz w:val="24"/>
          <w:szCs w:val="24"/>
        </w:rPr>
        <w:t xml:space="preserve"> JMU partnership. </w:t>
      </w:r>
    </w:p>
    <w:p w:rsidR="00B91BCA" w:rsidRPr="009C6B06" w:rsidRDefault="00B91BCA" w:rsidP="001A78A5">
      <w:pPr>
        <w:pStyle w:val="ListParagraph"/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3716D0" w:rsidRPr="00CD38B5" w:rsidRDefault="003716D0" w:rsidP="003716D0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8A347B" w:rsidRDefault="008A347B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t>DEPP Quarterly Numbers</w:t>
      </w:r>
      <w:r w:rsidR="00A638BD">
        <w:rPr>
          <w:rFonts w:ascii="Arial" w:hAnsi="Arial" w:cs="Arial"/>
          <w:b/>
          <w:sz w:val="24"/>
          <w:szCs w:val="24"/>
        </w:rPr>
        <w:t xml:space="preserve"> (next page)</w:t>
      </w:r>
      <w:bookmarkStart w:id="0" w:name="_GoBack"/>
      <w:bookmarkEnd w:id="0"/>
    </w:p>
    <w:p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="00285364">
        <w:rPr>
          <w:rFonts w:ascii="Arial" w:hAnsi="Arial" w:cs="Arial"/>
          <w:sz w:val="24"/>
          <w:szCs w:val="24"/>
        </w:rPr>
        <w:t>102</w:t>
      </w:r>
    </w:p>
    <w:p w:rsidR="00CE2C70" w:rsidRDefault="00D37E7E" w:rsidP="00621151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 w:rsidR="00285364">
        <w:rPr>
          <w:rFonts w:ascii="Arial" w:hAnsi="Arial" w:cs="Arial"/>
          <w:sz w:val="24"/>
          <w:szCs w:val="24"/>
        </w:rPr>
        <w:t xml:space="preserve"> 2,817</w:t>
      </w:r>
      <w:r w:rsidRPr="00D37E7E">
        <w:rPr>
          <w:rFonts w:ascii="Arial" w:hAnsi="Arial" w:cs="Arial"/>
          <w:sz w:val="24"/>
          <w:szCs w:val="24"/>
        </w:rPr>
        <w:t xml:space="preserve"> </w:t>
      </w:r>
    </w:p>
    <w:p w:rsidR="00A17F80" w:rsidRPr="00CD38B5" w:rsidRDefault="00A17F80" w:rsidP="00A17F80">
      <w:pPr>
        <w:pStyle w:val="NoSpacing"/>
      </w:pPr>
    </w:p>
    <w:p w:rsidR="0097711E" w:rsidRPr="0097711E" w:rsidRDefault="0097711E" w:rsidP="0097711E">
      <w:pPr>
        <w:rPr>
          <w:rFonts w:ascii="Arial" w:hAnsi="Arial" w:cs="Arial"/>
          <w:sz w:val="20"/>
          <w:szCs w:val="20"/>
        </w:rPr>
      </w:pPr>
      <w:r w:rsidRPr="0097711E">
        <w:rPr>
          <w:rFonts w:ascii="Arial" w:hAnsi="Arial" w:cs="Arial"/>
          <w:b/>
          <w:sz w:val="20"/>
          <w:szCs w:val="20"/>
        </w:rPr>
        <w:t>Notes:</w:t>
      </w:r>
      <w:r w:rsidRPr="0097711E">
        <w:rPr>
          <w:rFonts w:ascii="Arial" w:hAnsi="Arial" w:cs="Arial"/>
          <w:sz w:val="20"/>
          <w:szCs w:val="20"/>
        </w:rPr>
        <w:t xml:space="preserve"> June 2022 At-the-Museum numbers served includes Wildlife Festival: 751</w:t>
      </w:r>
      <w:r w:rsidR="00DF5F8E">
        <w:rPr>
          <w:rFonts w:ascii="Arial" w:hAnsi="Arial" w:cs="Arial"/>
          <w:sz w:val="20"/>
          <w:szCs w:val="20"/>
        </w:rPr>
        <w:t>;</w:t>
      </w:r>
      <w:r w:rsidRPr="0097711E">
        <w:rPr>
          <w:rFonts w:ascii="Arial" w:hAnsi="Arial" w:cs="Arial"/>
          <w:sz w:val="20"/>
          <w:szCs w:val="20"/>
        </w:rPr>
        <w:t xml:space="preserve"> May 2021 Outreach was the Waynesboro drive-thru festival</w:t>
      </w:r>
      <w:r w:rsidR="00DF5F8E">
        <w:rPr>
          <w:rFonts w:ascii="Arial" w:hAnsi="Arial" w:cs="Arial"/>
          <w:sz w:val="20"/>
          <w:szCs w:val="20"/>
        </w:rPr>
        <w:t>; June 2019 At-the-Museum includes Bug Festival: 702</w:t>
      </w:r>
    </w:p>
    <w:p w:rsidR="00D067B0" w:rsidRPr="00A17F80" w:rsidRDefault="00D067B0" w:rsidP="00A17F80">
      <w:pPr>
        <w:pStyle w:val="NoSpacing"/>
      </w:pPr>
    </w:p>
    <w:p w:rsidR="00FF4791" w:rsidRDefault="00FF4791" w:rsidP="00406B94">
      <w:pPr>
        <w:rPr>
          <w:rFonts w:ascii="Arial" w:hAnsi="Arial" w:cs="Arial"/>
          <w:sz w:val="24"/>
          <w:szCs w:val="24"/>
        </w:rPr>
      </w:pPr>
    </w:p>
    <w:p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74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 </w:t>
            </w:r>
            <w:r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1,380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CD38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1,966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2,497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</w:tr>
    </w:tbl>
    <w:tbl>
      <w:tblPr>
        <w:tblStyle w:val="TableGrid"/>
        <w:tblpPr w:leftFromText="180" w:rightFromText="180" w:vertAnchor="page" w:horzAnchor="margin" w:tblpY="240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6D1D20" w:rsidRPr="00CD38B5" w:rsidTr="006D1D20">
        <w:tc>
          <w:tcPr>
            <w:tcW w:w="1525" w:type="dxa"/>
          </w:tcPr>
          <w:p w:rsidR="006D1D20" w:rsidRPr="00CD38B5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D1D20" w:rsidRPr="00CD38B5" w:rsidRDefault="006D1D20" w:rsidP="006D1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6D1D20" w:rsidRPr="00CD38B5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6D1D20" w:rsidRPr="00CD38B5" w:rsidRDefault="006D1D20" w:rsidP="006D1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6D1D20" w:rsidRPr="00CD38B5" w:rsidRDefault="006D1D20" w:rsidP="006D1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6D1D20" w:rsidRPr="00CD38B5" w:rsidTr="006D1D20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6D1D20" w:rsidRPr="00CD38B5" w:rsidRDefault="006D1D20" w:rsidP="006D1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1D20" w:rsidRPr="0095594C" w:rsidRDefault="006D1D20" w:rsidP="006D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D1D20" w:rsidRPr="0095594C" w:rsidRDefault="006D1D20" w:rsidP="006D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1D20" w:rsidRPr="0095594C" w:rsidRDefault="006D1D20" w:rsidP="006D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D1D20" w:rsidRPr="0095594C" w:rsidRDefault="006D1D20" w:rsidP="006D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1D20" w:rsidRPr="0095594C" w:rsidRDefault="006D1D20" w:rsidP="006D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D1D20" w:rsidRPr="0095594C" w:rsidRDefault="006D1D20" w:rsidP="006D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6D1D20" w:rsidRPr="00CD38B5" w:rsidTr="006D1D20">
        <w:tc>
          <w:tcPr>
            <w:tcW w:w="1525" w:type="dxa"/>
          </w:tcPr>
          <w:p w:rsidR="006D1D20" w:rsidRPr="00CD38B5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44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6D1D20" w:rsidRPr="00CD38B5" w:rsidTr="006D1D20">
        <w:tc>
          <w:tcPr>
            <w:tcW w:w="1525" w:type="dxa"/>
          </w:tcPr>
          <w:p w:rsidR="006D1D20" w:rsidRPr="00CD38B5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 2022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44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D1D20" w:rsidRPr="00CD38B5" w:rsidTr="006D1D20">
        <w:trPr>
          <w:trHeight w:val="242"/>
        </w:trPr>
        <w:tc>
          <w:tcPr>
            <w:tcW w:w="1525" w:type="dxa"/>
          </w:tcPr>
          <w:p w:rsidR="006D1D20" w:rsidRPr="00CD38B5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2022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44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D1D20" w:rsidRPr="00CD38B5" w:rsidTr="006D1D20">
        <w:trPr>
          <w:trHeight w:val="347"/>
        </w:trPr>
        <w:tc>
          <w:tcPr>
            <w:tcW w:w="1525" w:type="dxa"/>
          </w:tcPr>
          <w:p w:rsidR="006D1D20" w:rsidRPr="00CD38B5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967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1,734</w:t>
            </w:r>
          </w:p>
        </w:tc>
        <w:tc>
          <w:tcPr>
            <w:tcW w:w="144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</w:tr>
    </w:tbl>
    <w:p w:rsidR="006D1D20" w:rsidRDefault="006D1D20" w:rsidP="00621151">
      <w:pPr>
        <w:rPr>
          <w:rFonts w:ascii="Arial" w:hAnsi="Arial" w:cs="Arial"/>
          <w:sz w:val="24"/>
          <w:szCs w:val="24"/>
        </w:rPr>
      </w:pPr>
    </w:p>
    <w:p w:rsidR="006D1D20" w:rsidRPr="006D1D20" w:rsidRDefault="006D1D20" w:rsidP="006D1D20">
      <w:pPr>
        <w:rPr>
          <w:rFonts w:ascii="Arial" w:hAnsi="Arial" w:cs="Arial"/>
          <w:sz w:val="24"/>
          <w:szCs w:val="24"/>
        </w:rPr>
      </w:pPr>
    </w:p>
    <w:p w:rsidR="006D1D20" w:rsidRPr="006D1D20" w:rsidRDefault="006D1D20" w:rsidP="006D1D20">
      <w:pPr>
        <w:rPr>
          <w:rFonts w:ascii="Arial" w:hAnsi="Arial" w:cs="Arial"/>
          <w:sz w:val="24"/>
          <w:szCs w:val="24"/>
        </w:rPr>
      </w:pPr>
    </w:p>
    <w:p w:rsidR="006D1D20" w:rsidRPr="006D1D20" w:rsidRDefault="006D1D20" w:rsidP="006D1D20">
      <w:pPr>
        <w:rPr>
          <w:rFonts w:ascii="Arial" w:hAnsi="Arial" w:cs="Arial"/>
          <w:sz w:val="24"/>
          <w:szCs w:val="24"/>
        </w:rPr>
      </w:pPr>
    </w:p>
    <w:p w:rsidR="006D1D20" w:rsidRPr="006D1D20" w:rsidRDefault="006D1D20" w:rsidP="006D1D2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69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6D1D20" w:rsidRPr="00CD38B5" w:rsidTr="006D1D20">
        <w:tc>
          <w:tcPr>
            <w:tcW w:w="1525" w:type="dxa"/>
          </w:tcPr>
          <w:p w:rsidR="006D1D20" w:rsidRPr="00CD38B5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D1D20" w:rsidRPr="00CD38B5" w:rsidRDefault="006D1D20" w:rsidP="006D1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6D1D20" w:rsidRPr="00CD38B5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6D1D20" w:rsidRPr="00CD38B5" w:rsidRDefault="006D1D20" w:rsidP="006D1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6D1D20" w:rsidRPr="00CD38B5" w:rsidRDefault="006D1D20" w:rsidP="006D1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6D1D20" w:rsidRPr="00CD38B5" w:rsidTr="006D1D20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6D1D20" w:rsidRPr="00CD38B5" w:rsidRDefault="006D1D20" w:rsidP="006D1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1D20" w:rsidRPr="0095594C" w:rsidRDefault="006D1D20" w:rsidP="006D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D1D20" w:rsidRPr="0095594C" w:rsidRDefault="006D1D20" w:rsidP="006D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1D20" w:rsidRPr="0095594C" w:rsidRDefault="006D1D20" w:rsidP="006D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D1D20" w:rsidRPr="0095594C" w:rsidRDefault="006D1D20" w:rsidP="006D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1D20" w:rsidRPr="0095594C" w:rsidRDefault="006D1D20" w:rsidP="006D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D1D20" w:rsidRPr="0095594C" w:rsidRDefault="006D1D20" w:rsidP="006D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6D1D20" w:rsidRPr="00CD38B5" w:rsidTr="006D1D20">
        <w:tc>
          <w:tcPr>
            <w:tcW w:w="1525" w:type="dxa"/>
          </w:tcPr>
          <w:p w:rsidR="006D1D20" w:rsidRPr="00CD38B5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 </w:t>
            </w:r>
            <w:r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</w:t>
            </w:r>
          </w:p>
        </w:tc>
      </w:tr>
      <w:tr w:rsidR="006D1D20" w:rsidRPr="00CD38B5" w:rsidTr="006D1D20">
        <w:tc>
          <w:tcPr>
            <w:tcW w:w="1525" w:type="dxa"/>
          </w:tcPr>
          <w:p w:rsidR="006D1D20" w:rsidRPr="00CD38B5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CD38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6D1D20" w:rsidRPr="00CD38B5" w:rsidTr="006D1D20">
        <w:trPr>
          <w:trHeight w:val="242"/>
        </w:trPr>
        <w:tc>
          <w:tcPr>
            <w:tcW w:w="1525" w:type="dxa"/>
          </w:tcPr>
          <w:p w:rsidR="006D1D20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  <w:p w:rsidR="006D1D20" w:rsidRPr="00CD38B5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4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D1D20" w:rsidRPr="00CD38B5" w:rsidTr="006D1D20">
        <w:trPr>
          <w:trHeight w:val="242"/>
        </w:trPr>
        <w:tc>
          <w:tcPr>
            <w:tcW w:w="1525" w:type="dxa"/>
          </w:tcPr>
          <w:p w:rsidR="006D1D20" w:rsidRPr="00CD38B5" w:rsidRDefault="006D1D20" w:rsidP="006D1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144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144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080" w:type="dxa"/>
            <w:shd w:val="clear" w:color="auto" w:fill="FFFFFF" w:themeFill="background1"/>
          </w:tcPr>
          <w:p w:rsidR="006D1D20" w:rsidRPr="00CD38B5" w:rsidRDefault="006D1D20" w:rsidP="006D1D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1,117</w:t>
            </w:r>
          </w:p>
        </w:tc>
      </w:tr>
    </w:tbl>
    <w:p w:rsidR="006D1D20" w:rsidRPr="006D1D20" w:rsidRDefault="006D1D20" w:rsidP="006D1D20">
      <w:pPr>
        <w:rPr>
          <w:rFonts w:ascii="Arial" w:hAnsi="Arial" w:cs="Arial"/>
          <w:sz w:val="24"/>
          <w:szCs w:val="24"/>
        </w:rPr>
      </w:pPr>
    </w:p>
    <w:p w:rsidR="006D1D20" w:rsidRPr="006D1D20" w:rsidRDefault="006D1D20" w:rsidP="006D1D20">
      <w:pPr>
        <w:rPr>
          <w:rFonts w:ascii="Arial" w:hAnsi="Arial" w:cs="Arial"/>
          <w:sz w:val="24"/>
          <w:szCs w:val="24"/>
        </w:rPr>
      </w:pPr>
    </w:p>
    <w:p w:rsidR="00293E2B" w:rsidRPr="006D1D20" w:rsidRDefault="00293E2B" w:rsidP="006D1D20">
      <w:pPr>
        <w:rPr>
          <w:rFonts w:ascii="Arial" w:hAnsi="Arial" w:cs="Arial"/>
          <w:sz w:val="24"/>
          <w:szCs w:val="24"/>
        </w:rPr>
      </w:pPr>
    </w:p>
    <w:sectPr w:rsidR="00293E2B" w:rsidRPr="006D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2"/>
    <w:rsid w:val="00003E35"/>
    <w:rsid w:val="00012013"/>
    <w:rsid w:val="00015B60"/>
    <w:rsid w:val="00032894"/>
    <w:rsid w:val="000539C9"/>
    <w:rsid w:val="000645B6"/>
    <w:rsid w:val="00074D7B"/>
    <w:rsid w:val="00083FC9"/>
    <w:rsid w:val="00096BDE"/>
    <w:rsid w:val="000B15D8"/>
    <w:rsid w:val="000B51D9"/>
    <w:rsid w:val="000C66FE"/>
    <w:rsid w:val="000E763D"/>
    <w:rsid w:val="000F2FB1"/>
    <w:rsid w:val="00101F05"/>
    <w:rsid w:val="0010287E"/>
    <w:rsid w:val="00113A4B"/>
    <w:rsid w:val="00117203"/>
    <w:rsid w:val="001175F6"/>
    <w:rsid w:val="0012180F"/>
    <w:rsid w:val="00126BC1"/>
    <w:rsid w:val="001422C8"/>
    <w:rsid w:val="001449EB"/>
    <w:rsid w:val="00145BE8"/>
    <w:rsid w:val="00146830"/>
    <w:rsid w:val="00153F64"/>
    <w:rsid w:val="00154707"/>
    <w:rsid w:val="0016024F"/>
    <w:rsid w:val="001671C7"/>
    <w:rsid w:val="00181662"/>
    <w:rsid w:val="0019218C"/>
    <w:rsid w:val="00194FAB"/>
    <w:rsid w:val="001A2FAB"/>
    <w:rsid w:val="001A3EF6"/>
    <w:rsid w:val="001A5B55"/>
    <w:rsid w:val="001A6861"/>
    <w:rsid w:val="001A78A5"/>
    <w:rsid w:val="001B24D1"/>
    <w:rsid w:val="001B4F7B"/>
    <w:rsid w:val="001B69F0"/>
    <w:rsid w:val="001B75AB"/>
    <w:rsid w:val="001C29BB"/>
    <w:rsid w:val="001C3DF3"/>
    <w:rsid w:val="001D0115"/>
    <w:rsid w:val="001D5994"/>
    <w:rsid w:val="001E2F22"/>
    <w:rsid w:val="0021334E"/>
    <w:rsid w:val="002205D6"/>
    <w:rsid w:val="002218F7"/>
    <w:rsid w:val="00221994"/>
    <w:rsid w:val="00221A7F"/>
    <w:rsid w:val="00224FC6"/>
    <w:rsid w:val="002300B2"/>
    <w:rsid w:val="00232F9A"/>
    <w:rsid w:val="002345EF"/>
    <w:rsid w:val="00246FB4"/>
    <w:rsid w:val="00285364"/>
    <w:rsid w:val="002911E8"/>
    <w:rsid w:val="00293E2B"/>
    <w:rsid w:val="002947F8"/>
    <w:rsid w:val="002A1AB5"/>
    <w:rsid w:val="002A5043"/>
    <w:rsid w:val="002B724F"/>
    <w:rsid w:val="002C1A7C"/>
    <w:rsid w:val="002D25FA"/>
    <w:rsid w:val="002D5410"/>
    <w:rsid w:val="002D56AF"/>
    <w:rsid w:val="002E56CD"/>
    <w:rsid w:val="002E5DF3"/>
    <w:rsid w:val="00301B5B"/>
    <w:rsid w:val="00306022"/>
    <w:rsid w:val="00312E0C"/>
    <w:rsid w:val="00316E60"/>
    <w:rsid w:val="00331036"/>
    <w:rsid w:val="00332916"/>
    <w:rsid w:val="003337B1"/>
    <w:rsid w:val="003361EF"/>
    <w:rsid w:val="00337602"/>
    <w:rsid w:val="003422C7"/>
    <w:rsid w:val="003468E6"/>
    <w:rsid w:val="0035597A"/>
    <w:rsid w:val="00360582"/>
    <w:rsid w:val="00361A9C"/>
    <w:rsid w:val="0036269C"/>
    <w:rsid w:val="0037095C"/>
    <w:rsid w:val="003716D0"/>
    <w:rsid w:val="00372C56"/>
    <w:rsid w:val="00373DA7"/>
    <w:rsid w:val="003742CA"/>
    <w:rsid w:val="00374E15"/>
    <w:rsid w:val="00375071"/>
    <w:rsid w:val="003937DC"/>
    <w:rsid w:val="003A474F"/>
    <w:rsid w:val="003B384E"/>
    <w:rsid w:val="003C3372"/>
    <w:rsid w:val="003D4ACF"/>
    <w:rsid w:val="003D5C4F"/>
    <w:rsid w:val="003D6513"/>
    <w:rsid w:val="003F5F0F"/>
    <w:rsid w:val="003F6868"/>
    <w:rsid w:val="00406430"/>
    <w:rsid w:val="00406B94"/>
    <w:rsid w:val="0041465D"/>
    <w:rsid w:val="0042281E"/>
    <w:rsid w:val="00445D7E"/>
    <w:rsid w:val="00465116"/>
    <w:rsid w:val="00475785"/>
    <w:rsid w:val="00491EBD"/>
    <w:rsid w:val="00497D38"/>
    <w:rsid w:val="004A00A0"/>
    <w:rsid w:val="004A22AF"/>
    <w:rsid w:val="004A7F2B"/>
    <w:rsid w:val="004B0476"/>
    <w:rsid w:val="004B0510"/>
    <w:rsid w:val="004C127D"/>
    <w:rsid w:val="004C2A43"/>
    <w:rsid w:val="004C2ED2"/>
    <w:rsid w:val="004D13BE"/>
    <w:rsid w:val="004D4338"/>
    <w:rsid w:val="004E621B"/>
    <w:rsid w:val="004F3610"/>
    <w:rsid w:val="004F498D"/>
    <w:rsid w:val="005040C8"/>
    <w:rsid w:val="00512677"/>
    <w:rsid w:val="00513BB9"/>
    <w:rsid w:val="00527CA6"/>
    <w:rsid w:val="00534BB5"/>
    <w:rsid w:val="00540DF8"/>
    <w:rsid w:val="00566867"/>
    <w:rsid w:val="00573CF4"/>
    <w:rsid w:val="005954EF"/>
    <w:rsid w:val="005A459E"/>
    <w:rsid w:val="005A495E"/>
    <w:rsid w:val="005A5FDE"/>
    <w:rsid w:val="005A6E88"/>
    <w:rsid w:val="005B41F1"/>
    <w:rsid w:val="005B49E3"/>
    <w:rsid w:val="005B67EF"/>
    <w:rsid w:val="005C64E5"/>
    <w:rsid w:val="005D17F2"/>
    <w:rsid w:val="005D755E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76757"/>
    <w:rsid w:val="0068289D"/>
    <w:rsid w:val="00682EF2"/>
    <w:rsid w:val="00685778"/>
    <w:rsid w:val="006919F7"/>
    <w:rsid w:val="006A240B"/>
    <w:rsid w:val="006A2857"/>
    <w:rsid w:val="006A6314"/>
    <w:rsid w:val="006B634B"/>
    <w:rsid w:val="006B69AB"/>
    <w:rsid w:val="006C3101"/>
    <w:rsid w:val="006D1D20"/>
    <w:rsid w:val="006D1FED"/>
    <w:rsid w:val="006D4397"/>
    <w:rsid w:val="006D49BB"/>
    <w:rsid w:val="006E1631"/>
    <w:rsid w:val="006E4178"/>
    <w:rsid w:val="00703FA0"/>
    <w:rsid w:val="0070539C"/>
    <w:rsid w:val="007053D3"/>
    <w:rsid w:val="00707CE4"/>
    <w:rsid w:val="00715749"/>
    <w:rsid w:val="007214DB"/>
    <w:rsid w:val="0072558E"/>
    <w:rsid w:val="00725603"/>
    <w:rsid w:val="00726CBE"/>
    <w:rsid w:val="007279A5"/>
    <w:rsid w:val="0075316A"/>
    <w:rsid w:val="00763781"/>
    <w:rsid w:val="00763816"/>
    <w:rsid w:val="00772853"/>
    <w:rsid w:val="00781061"/>
    <w:rsid w:val="00782B9A"/>
    <w:rsid w:val="00784105"/>
    <w:rsid w:val="00785B63"/>
    <w:rsid w:val="00794369"/>
    <w:rsid w:val="007A47F3"/>
    <w:rsid w:val="007B2740"/>
    <w:rsid w:val="007B51A0"/>
    <w:rsid w:val="007B782C"/>
    <w:rsid w:val="007C7858"/>
    <w:rsid w:val="007D46B6"/>
    <w:rsid w:val="007E5865"/>
    <w:rsid w:val="007F041E"/>
    <w:rsid w:val="007F4048"/>
    <w:rsid w:val="00811C36"/>
    <w:rsid w:val="008203B4"/>
    <w:rsid w:val="00821C1E"/>
    <w:rsid w:val="00823408"/>
    <w:rsid w:val="008313AB"/>
    <w:rsid w:val="0083191D"/>
    <w:rsid w:val="00835B01"/>
    <w:rsid w:val="00835F6A"/>
    <w:rsid w:val="00842F3F"/>
    <w:rsid w:val="00851B61"/>
    <w:rsid w:val="008651D5"/>
    <w:rsid w:val="00865F7A"/>
    <w:rsid w:val="0086705A"/>
    <w:rsid w:val="00872DD3"/>
    <w:rsid w:val="00876FAE"/>
    <w:rsid w:val="00877B5E"/>
    <w:rsid w:val="008805E5"/>
    <w:rsid w:val="0088230A"/>
    <w:rsid w:val="008873F1"/>
    <w:rsid w:val="00895DFA"/>
    <w:rsid w:val="008A06A8"/>
    <w:rsid w:val="008A347B"/>
    <w:rsid w:val="008B13AD"/>
    <w:rsid w:val="008B1ECF"/>
    <w:rsid w:val="008B47AD"/>
    <w:rsid w:val="008B4CDA"/>
    <w:rsid w:val="008D0130"/>
    <w:rsid w:val="008D048C"/>
    <w:rsid w:val="008E669A"/>
    <w:rsid w:val="008F347B"/>
    <w:rsid w:val="009010E7"/>
    <w:rsid w:val="00910122"/>
    <w:rsid w:val="009109A2"/>
    <w:rsid w:val="0092704D"/>
    <w:rsid w:val="0093546E"/>
    <w:rsid w:val="00935F92"/>
    <w:rsid w:val="00942FB0"/>
    <w:rsid w:val="00946A37"/>
    <w:rsid w:val="0095594C"/>
    <w:rsid w:val="0095729D"/>
    <w:rsid w:val="00963D26"/>
    <w:rsid w:val="00964E9B"/>
    <w:rsid w:val="00974AE7"/>
    <w:rsid w:val="00976698"/>
    <w:rsid w:val="009766B8"/>
    <w:rsid w:val="0097711E"/>
    <w:rsid w:val="00993963"/>
    <w:rsid w:val="0099469F"/>
    <w:rsid w:val="00995ADF"/>
    <w:rsid w:val="00997782"/>
    <w:rsid w:val="009A37A7"/>
    <w:rsid w:val="009A405F"/>
    <w:rsid w:val="009A55B8"/>
    <w:rsid w:val="009B0595"/>
    <w:rsid w:val="009B42B3"/>
    <w:rsid w:val="009B52D7"/>
    <w:rsid w:val="009C6B06"/>
    <w:rsid w:val="009D235D"/>
    <w:rsid w:val="009D57CB"/>
    <w:rsid w:val="009D7D2C"/>
    <w:rsid w:val="009E5236"/>
    <w:rsid w:val="009F1BAA"/>
    <w:rsid w:val="00A00186"/>
    <w:rsid w:val="00A031FD"/>
    <w:rsid w:val="00A134D2"/>
    <w:rsid w:val="00A14928"/>
    <w:rsid w:val="00A15F84"/>
    <w:rsid w:val="00A17F80"/>
    <w:rsid w:val="00A232A5"/>
    <w:rsid w:val="00A31A1D"/>
    <w:rsid w:val="00A323F3"/>
    <w:rsid w:val="00A33FD3"/>
    <w:rsid w:val="00A40205"/>
    <w:rsid w:val="00A51AC0"/>
    <w:rsid w:val="00A52EAA"/>
    <w:rsid w:val="00A638BD"/>
    <w:rsid w:val="00A72561"/>
    <w:rsid w:val="00A7351E"/>
    <w:rsid w:val="00A806DE"/>
    <w:rsid w:val="00A81DF3"/>
    <w:rsid w:val="00A84AF0"/>
    <w:rsid w:val="00A879B2"/>
    <w:rsid w:val="00A93910"/>
    <w:rsid w:val="00A9604E"/>
    <w:rsid w:val="00AA10EC"/>
    <w:rsid w:val="00AA23EB"/>
    <w:rsid w:val="00AA7856"/>
    <w:rsid w:val="00AB48E1"/>
    <w:rsid w:val="00AC1BD9"/>
    <w:rsid w:val="00AC311B"/>
    <w:rsid w:val="00AC6FCE"/>
    <w:rsid w:val="00AF6112"/>
    <w:rsid w:val="00B0258E"/>
    <w:rsid w:val="00B03CF7"/>
    <w:rsid w:val="00B03E80"/>
    <w:rsid w:val="00B15C0E"/>
    <w:rsid w:val="00B166DC"/>
    <w:rsid w:val="00B17E96"/>
    <w:rsid w:val="00B2359F"/>
    <w:rsid w:val="00B31C2A"/>
    <w:rsid w:val="00B342C8"/>
    <w:rsid w:val="00B423DA"/>
    <w:rsid w:val="00B70F3B"/>
    <w:rsid w:val="00B72AD1"/>
    <w:rsid w:val="00B74BD4"/>
    <w:rsid w:val="00B74F8E"/>
    <w:rsid w:val="00B867CC"/>
    <w:rsid w:val="00B869D8"/>
    <w:rsid w:val="00B87B71"/>
    <w:rsid w:val="00B910FF"/>
    <w:rsid w:val="00B912FC"/>
    <w:rsid w:val="00B91BCA"/>
    <w:rsid w:val="00B93439"/>
    <w:rsid w:val="00B96E86"/>
    <w:rsid w:val="00BA186A"/>
    <w:rsid w:val="00BA569F"/>
    <w:rsid w:val="00BA7E9E"/>
    <w:rsid w:val="00BB72BB"/>
    <w:rsid w:val="00BD5F41"/>
    <w:rsid w:val="00BF0959"/>
    <w:rsid w:val="00BF65FA"/>
    <w:rsid w:val="00C04743"/>
    <w:rsid w:val="00C1253A"/>
    <w:rsid w:val="00C164BB"/>
    <w:rsid w:val="00C17602"/>
    <w:rsid w:val="00C272BE"/>
    <w:rsid w:val="00C31AF7"/>
    <w:rsid w:val="00C31F81"/>
    <w:rsid w:val="00C32FDF"/>
    <w:rsid w:val="00C51DB9"/>
    <w:rsid w:val="00C568B4"/>
    <w:rsid w:val="00C64E5A"/>
    <w:rsid w:val="00C715D3"/>
    <w:rsid w:val="00C722F8"/>
    <w:rsid w:val="00C75135"/>
    <w:rsid w:val="00C91D52"/>
    <w:rsid w:val="00C92715"/>
    <w:rsid w:val="00CB05A4"/>
    <w:rsid w:val="00CB3440"/>
    <w:rsid w:val="00CC260C"/>
    <w:rsid w:val="00CC45DA"/>
    <w:rsid w:val="00CC7E8C"/>
    <w:rsid w:val="00CD353B"/>
    <w:rsid w:val="00CD38B5"/>
    <w:rsid w:val="00CD6298"/>
    <w:rsid w:val="00CE2C70"/>
    <w:rsid w:val="00CF205E"/>
    <w:rsid w:val="00CF22DD"/>
    <w:rsid w:val="00CF6DE4"/>
    <w:rsid w:val="00D064F2"/>
    <w:rsid w:val="00D067B0"/>
    <w:rsid w:val="00D21DF5"/>
    <w:rsid w:val="00D37E7E"/>
    <w:rsid w:val="00D41764"/>
    <w:rsid w:val="00D47D93"/>
    <w:rsid w:val="00D47F78"/>
    <w:rsid w:val="00D62D7D"/>
    <w:rsid w:val="00D63541"/>
    <w:rsid w:val="00D6469C"/>
    <w:rsid w:val="00D77FB5"/>
    <w:rsid w:val="00D80507"/>
    <w:rsid w:val="00D82747"/>
    <w:rsid w:val="00D83A8E"/>
    <w:rsid w:val="00D85DFB"/>
    <w:rsid w:val="00D910DC"/>
    <w:rsid w:val="00D95E26"/>
    <w:rsid w:val="00DA16C2"/>
    <w:rsid w:val="00DA243B"/>
    <w:rsid w:val="00DA5797"/>
    <w:rsid w:val="00DA70C8"/>
    <w:rsid w:val="00DB6E4D"/>
    <w:rsid w:val="00DB78E4"/>
    <w:rsid w:val="00DC5DA4"/>
    <w:rsid w:val="00DE67AC"/>
    <w:rsid w:val="00DF2590"/>
    <w:rsid w:val="00DF5F8E"/>
    <w:rsid w:val="00DF66F9"/>
    <w:rsid w:val="00DF6B08"/>
    <w:rsid w:val="00E16835"/>
    <w:rsid w:val="00E26B28"/>
    <w:rsid w:val="00E50F8E"/>
    <w:rsid w:val="00E67C9A"/>
    <w:rsid w:val="00E724C4"/>
    <w:rsid w:val="00E751F2"/>
    <w:rsid w:val="00E933DB"/>
    <w:rsid w:val="00E9411C"/>
    <w:rsid w:val="00E952D6"/>
    <w:rsid w:val="00E973A3"/>
    <w:rsid w:val="00EA06C2"/>
    <w:rsid w:val="00EA1201"/>
    <w:rsid w:val="00EA27E7"/>
    <w:rsid w:val="00EB09DB"/>
    <w:rsid w:val="00EC614B"/>
    <w:rsid w:val="00ED1080"/>
    <w:rsid w:val="00F01DC2"/>
    <w:rsid w:val="00F07628"/>
    <w:rsid w:val="00F22E54"/>
    <w:rsid w:val="00F230C4"/>
    <w:rsid w:val="00F27033"/>
    <w:rsid w:val="00F3333D"/>
    <w:rsid w:val="00F33A03"/>
    <w:rsid w:val="00F37584"/>
    <w:rsid w:val="00F446E4"/>
    <w:rsid w:val="00F44A62"/>
    <w:rsid w:val="00F45199"/>
    <w:rsid w:val="00F50228"/>
    <w:rsid w:val="00F50AED"/>
    <w:rsid w:val="00F53A42"/>
    <w:rsid w:val="00F608B4"/>
    <w:rsid w:val="00F71CAC"/>
    <w:rsid w:val="00F838F7"/>
    <w:rsid w:val="00F87650"/>
    <w:rsid w:val="00FA461F"/>
    <w:rsid w:val="00FC4485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9FCF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VITA Program</cp:lastModifiedBy>
  <cp:revision>473</cp:revision>
  <cp:lastPrinted>2020-06-15T16:51:00Z</cp:lastPrinted>
  <dcterms:created xsi:type="dcterms:W3CDTF">2017-10-11T17:34:00Z</dcterms:created>
  <dcterms:modified xsi:type="dcterms:W3CDTF">2022-08-16T14:10:00Z</dcterms:modified>
</cp:coreProperties>
</file>